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4312D2">
      <w:pPr>
        <w:keepNext w:val="0"/>
        <w:keepLines w:val="0"/>
        <w:pageBreakBefore w:val="0"/>
        <w:widowControl w:val="0"/>
        <w:numPr>
          <w:ilvl w:val="0"/>
          <w:numId w:val="0"/>
        </w:numPr>
        <w:tabs>
          <w:tab w:val="left" w:pos="1862"/>
        </w:tabs>
        <w:kinsoku/>
        <w:wordWrap/>
        <w:overflowPunct/>
        <w:topLinePunct w:val="0"/>
        <w:autoSpaceDE/>
        <w:autoSpaceDN/>
        <w:bidi w:val="0"/>
        <w:adjustRightInd/>
        <w:snapToGrid/>
        <w:spacing w:after="0" w:line="560" w:lineRule="exact"/>
        <w:jc w:val="center"/>
        <w:textAlignment w:val="auto"/>
        <w:outlineLvl w:val="9"/>
        <w:rPr>
          <w:rFonts w:hint="eastAsia" w:asciiTheme="minorEastAsia" w:hAnsiTheme="minorEastAsia" w:eastAsiaTheme="minorEastAsia" w:cstheme="minorEastAsia"/>
          <w:b/>
          <w:bCs/>
          <w:kern w:val="2"/>
          <w:sz w:val="44"/>
          <w:szCs w:val="44"/>
          <w:lang w:val="en-US" w:eastAsia="zh-CN"/>
        </w:rPr>
      </w:pPr>
    </w:p>
    <w:p w14:paraId="3CC46DBC">
      <w:pPr>
        <w:keepNext w:val="0"/>
        <w:keepLines w:val="0"/>
        <w:pageBreakBefore w:val="0"/>
        <w:widowControl w:val="0"/>
        <w:numPr>
          <w:ilvl w:val="0"/>
          <w:numId w:val="0"/>
        </w:numPr>
        <w:tabs>
          <w:tab w:val="left" w:pos="1862"/>
        </w:tabs>
        <w:kinsoku/>
        <w:wordWrap/>
        <w:overflowPunct/>
        <w:topLinePunct w:val="0"/>
        <w:autoSpaceDE/>
        <w:autoSpaceDN/>
        <w:bidi w:val="0"/>
        <w:adjustRightInd/>
        <w:snapToGrid/>
        <w:spacing w:after="0" w:line="560" w:lineRule="exact"/>
        <w:jc w:val="center"/>
        <w:textAlignment w:val="auto"/>
        <w:outlineLvl w:val="9"/>
        <w:rPr>
          <w:rFonts w:hint="eastAsia" w:asciiTheme="minorEastAsia" w:hAnsiTheme="minorEastAsia" w:eastAsiaTheme="minorEastAsia" w:cstheme="minorEastAsia"/>
          <w:b/>
          <w:bCs/>
          <w:kern w:val="2"/>
          <w:sz w:val="44"/>
          <w:szCs w:val="44"/>
          <w:lang w:val="zh-CN"/>
        </w:rPr>
      </w:pPr>
      <w:r>
        <w:rPr>
          <w:rFonts w:hint="eastAsia" w:asciiTheme="minorEastAsia" w:hAnsiTheme="minorEastAsia" w:eastAsiaTheme="minorEastAsia" w:cstheme="minorEastAsia"/>
          <w:b/>
          <w:bCs/>
          <w:kern w:val="2"/>
          <w:sz w:val="44"/>
          <w:szCs w:val="44"/>
          <w:lang w:val="en-US" w:eastAsia="zh-CN"/>
        </w:rPr>
        <w:t>35.</w:t>
      </w:r>
      <w:r>
        <w:rPr>
          <w:rFonts w:hint="eastAsia" w:asciiTheme="minorEastAsia" w:hAnsiTheme="minorEastAsia" w:eastAsiaTheme="minorEastAsia" w:cstheme="minorEastAsia"/>
          <w:b/>
          <w:bCs/>
          <w:kern w:val="2"/>
          <w:sz w:val="44"/>
          <w:szCs w:val="44"/>
          <w:lang w:val="zh-CN"/>
        </w:rPr>
        <w:t>燃气工程竣工验收备案事中事后</w:t>
      </w:r>
    </w:p>
    <w:p w14:paraId="3B516418">
      <w:pPr>
        <w:keepNext w:val="0"/>
        <w:keepLines w:val="0"/>
        <w:pageBreakBefore w:val="0"/>
        <w:widowControl w:val="0"/>
        <w:numPr>
          <w:ilvl w:val="0"/>
          <w:numId w:val="0"/>
        </w:numPr>
        <w:tabs>
          <w:tab w:val="left" w:pos="1862"/>
        </w:tabs>
        <w:kinsoku/>
        <w:wordWrap/>
        <w:overflowPunct/>
        <w:topLinePunct w:val="0"/>
        <w:autoSpaceDE/>
        <w:autoSpaceDN/>
        <w:bidi w:val="0"/>
        <w:adjustRightInd/>
        <w:snapToGrid/>
        <w:spacing w:after="0" w:line="560" w:lineRule="exact"/>
        <w:jc w:val="center"/>
        <w:textAlignment w:val="auto"/>
        <w:outlineLvl w:val="9"/>
        <w:rPr>
          <w:rFonts w:hint="eastAsia" w:asciiTheme="minorEastAsia" w:hAnsiTheme="minorEastAsia" w:eastAsiaTheme="minorEastAsia" w:cstheme="minorEastAsia"/>
          <w:b/>
          <w:bCs/>
          <w:kern w:val="2"/>
          <w:sz w:val="44"/>
          <w:szCs w:val="44"/>
          <w:lang w:val="zh-CN"/>
        </w:rPr>
      </w:pPr>
      <w:r>
        <w:rPr>
          <w:rFonts w:hint="eastAsia" w:asciiTheme="minorEastAsia" w:hAnsiTheme="minorEastAsia" w:eastAsiaTheme="minorEastAsia" w:cstheme="minorEastAsia"/>
          <w:b/>
          <w:bCs/>
          <w:kern w:val="2"/>
          <w:sz w:val="44"/>
          <w:szCs w:val="44"/>
          <w:lang w:val="zh-CN"/>
        </w:rPr>
        <w:t>监管细则</w:t>
      </w:r>
    </w:p>
    <w:p w14:paraId="1BF63790">
      <w:pPr>
        <w:keepNext w:val="0"/>
        <w:keepLines w:val="0"/>
        <w:pageBreakBefore w:val="0"/>
        <w:widowControl w:val="0"/>
        <w:numPr>
          <w:ilvl w:val="0"/>
          <w:numId w:val="0"/>
        </w:numPr>
        <w:tabs>
          <w:tab w:val="left" w:pos="1862"/>
        </w:tabs>
        <w:kinsoku/>
        <w:wordWrap/>
        <w:overflowPunct/>
        <w:topLinePunct w:val="0"/>
        <w:autoSpaceDE/>
        <w:autoSpaceDN/>
        <w:bidi w:val="0"/>
        <w:adjustRightInd/>
        <w:snapToGrid/>
        <w:spacing w:after="0" w:line="560" w:lineRule="exact"/>
        <w:jc w:val="center"/>
        <w:textAlignment w:val="auto"/>
        <w:outlineLvl w:val="9"/>
        <w:rPr>
          <w:rFonts w:hint="eastAsia" w:asciiTheme="minorEastAsia" w:hAnsiTheme="minorEastAsia" w:eastAsiaTheme="minorEastAsia" w:cstheme="minorEastAsia"/>
          <w:b/>
          <w:bCs/>
          <w:kern w:val="2"/>
          <w:sz w:val="44"/>
          <w:szCs w:val="44"/>
          <w:lang w:val="zh-CN"/>
        </w:rPr>
      </w:pPr>
    </w:p>
    <w:p w14:paraId="4824A4B0">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为深入推进简政放权、放管结合、优化服务，加强燃气工程竣工验收备案事中事后监管工作，规范行政行为，根据《安徽省城镇燃气管理条例》和《安徽省住房和城乡建设厅行政权力运行监管细则》，结合燃气工程竣工验收备案实际，制定本监管细则。</w:t>
      </w:r>
    </w:p>
    <w:p w14:paraId="10EFD3C5">
      <w:pPr>
        <w:keepNext w:val="0"/>
        <w:keepLines w:val="0"/>
        <w:pageBreakBefore w:val="0"/>
        <w:kinsoku/>
        <w:wordWrap/>
        <w:overflowPunct/>
        <w:topLinePunct w:val="0"/>
        <w:autoSpaceDE w:val="0"/>
        <w:autoSpaceDN w:val="0"/>
        <w:bidi w:val="0"/>
        <w:spacing w:after="0" w:line="560" w:lineRule="exact"/>
        <w:ind w:firstLine="640" w:firstLineChars="200"/>
        <w:textAlignment w:val="auto"/>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w:t>
      </w:r>
      <w:r>
        <w:rPr>
          <w:rFonts w:ascii="仿宋_GB2312" w:hAnsi="仿宋" w:eastAsia="仿宋_GB2312" w:cs="仿宋_GB2312"/>
          <w:sz w:val="32"/>
          <w:szCs w:val="32"/>
          <w:lang w:val="zh-CN"/>
        </w:rPr>
        <w:t>政府</w:t>
      </w:r>
      <w:r>
        <w:rPr>
          <w:rFonts w:hint="eastAsia" w:ascii="仿宋_GB2312" w:hAnsi="仿宋" w:eastAsia="仿宋_GB2312" w:cs="仿宋_GB2312"/>
          <w:sz w:val="32"/>
          <w:szCs w:val="32"/>
          <w:lang w:val="zh-CN"/>
        </w:rPr>
        <w:t>县级</w:t>
      </w:r>
      <w:r>
        <w:rPr>
          <w:rFonts w:ascii="仿宋_GB2312" w:hAnsi="仿宋" w:eastAsia="仿宋_GB2312" w:cs="仿宋_GB2312"/>
          <w:sz w:val="32"/>
          <w:szCs w:val="32"/>
          <w:lang w:val="zh-CN"/>
        </w:rPr>
        <w:t>权责清单（20</w:t>
      </w:r>
      <w:r>
        <w:rPr>
          <w:rFonts w:hint="eastAsia" w:ascii="仿宋_GB2312" w:hAnsi="仿宋" w:eastAsia="仿宋_GB2312" w:cs="仿宋_GB2312"/>
          <w:sz w:val="32"/>
          <w:szCs w:val="32"/>
          <w:lang w:val="en-US" w:eastAsia="zh-CN"/>
        </w:rPr>
        <w:t>23</w:t>
      </w:r>
      <w:r>
        <w:rPr>
          <w:rFonts w:hint="eastAsia" w:ascii="仿宋_GB2312" w:hAnsi="仿宋" w:eastAsia="仿宋_GB2312" w:cs="仿宋_GB2312"/>
          <w:sz w:val="32"/>
          <w:szCs w:val="32"/>
          <w:lang w:val="zh-CN"/>
        </w:rPr>
        <w:t>版</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_GB2312" w:hAnsi="仿宋" w:eastAsia="仿宋_GB2312" w:cs="仿宋_GB2312"/>
          <w:sz w:val="32"/>
          <w:szCs w:val="32"/>
          <w:lang w:val="zh-CN"/>
        </w:rPr>
        <w:t>第</w:t>
      </w:r>
      <w:r>
        <w:rPr>
          <w:rFonts w:hint="eastAsia" w:ascii="仿宋_GB2312" w:hAnsi="仿宋" w:eastAsia="仿宋_GB2312" w:cs="仿宋_GB2312"/>
          <w:sz w:val="32"/>
          <w:szCs w:val="32"/>
          <w:lang w:val="en-US" w:eastAsia="zh-CN"/>
        </w:rPr>
        <w:t>35</w:t>
      </w:r>
      <w:r>
        <w:rPr>
          <w:rFonts w:hint="eastAsia" w:ascii="仿宋_GB2312" w:hAnsi="仿宋" w:eastAsia="仿宋_GB2312" w:cs="仿宋_GB2312"/>
          <w:sz w:val="32"/>
          <w:szCs w:val="32"/>
          <w:lang w:val="zh-CN"/>
        </w:rPr>
        <w:t>项，权力类型：其他权力，项目名称为：燃气工程竣工验收备案。</w:t>
      </w:r>
    </w:p>
    <w:p w14:paraId="4F2CF410">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黑体" w:hAnsi="仿宋" w:eastAsia="黑体" w:cs="仿宋_GB2312"/>
          <w:sz w:val="32"/>
          <w:szCs w:val="32"/>
          <w:lang w:val="zh-CN"/>
        </w:rPr>
      </w:pPr>
      <w:r>
        <w:rPr>
          <w:rFonts w:hint="eastAsia" w:ascii="黑体" w:hAnsi="仿宋" w:eastAsia="黑体" w:cs="仿宋_GB2312"/>
          <w:sz w:val="32"/>
          <w:szCs w:val="32"/>
          <w:lang w:val="zh-CN"/>
        </w:rPr>
        <w:t>一、监管任务</w:t>
      </w:r>
    </w:p>
    <w:p w14:paraId="1E5436CE">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祁门县住房和城乡建设局依照相关法律、法规的规定，接受燃气工程竣工验收的备案申请。</w:t>
      </w:r>
    </w:p>
    <w:p w14:paraId="7E61651C">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具体包括以下事项：</w:t>
      </w:r>
    </w:p>
    <w:p w14:paraId="3610FA16">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（一）燃气工程验收结果。</w:t>
      </w:r>
    </w:p>
    <w:p w14:paraId="045FD824">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（二）对申请单位（个人）隐瞒有关情况、提供虚假材料申请备案、申请单位（个人）以欺骗贿赂等不正当手段通过备案等违法违规行为的查处。</w:t>
      </w:r>
    </w:p>
    <w:p w14:paraId="200D4F92">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（三）检查本单位的工作人员在燃气工程竣工验收备案和监管工作中，是否存在玩忽职守、滥用职权、徇私舞弊等情况。</w:t>
      </w:r>
    </w:p>
    <w:p w14:paraId="1A19A87D">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（四）检查是否存在其他违反相关法律法规的情形。</w:t>
      </w:r>
    </w:p>
    <w:p w14:paraId="07274565">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黑体" w:hAnsi="仿宋" w:eastAsia="黑体" w:cs="仿宋_GB2312"/>
          <w:sz w:val="32"/>
          <w:szCs w:val="32"/>
          <w:lang w:val="zh-CN"/>
        </w:rPr>
      </w:pPr>
      <w:r>
        <w:rPr>
          <w:rFonts w:hint="eastAsia" w:ascii="黑体" w:hAnsi="仿宋" w:eastAsia="黑体" w:cs="仿宋_GB2312"/>
          <w:sz w:val="32"/>
          <w:szCs w:val="32"/>
          <w:lang w:val="zh-CN"/>
        </w:rPr>
        <w:t>二、事中监管</w:t>
      </w:r>
    </w:p>
    <w:p w14:paraId="2BB1BC3E">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（一）明确检查程序。</w:t>
      </w:r>
    </w:p>
    <w:p w14:paraId="05B34C4B">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1.制定监督检查方案，并经审核批准。现场检查方案应根据监督检查要求制定，写明日程安排、检查标准和检查内容、检查组成员及分工等。</w:t>
      </w:r>
    </w:p>
    <w:p w14:paraId="5BBC683B">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2.实施监督检查。检查人员应不少于2人，检查前应出示执法证件，检查采取当场查验、咨询相关部门和群众等方式，检查人员要填写抽查检查记录，如实记录检查情况。</w:t>
      </w:r>
    </w:p>
    <w:p w14:paraId="34BA9AC3">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3.综合评定意见。应当以现场检查报告形式告知被检测单位，如实记录现场检查全过程的主要内容，并做出综合综合评定意见，需要整改的应当提出整改内容及整改期限。现场检查报告内容包括被检查单位基本情况、检查内容、上次检查缺陷项目整改情况、本次检查发现的主要问题和建议、检查人员和被检查单位主要负责人或授权人签字等。</w:t>
      </w:r>
    </w:p>
    <w:p w14:paraId="3E11A6B0">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4.按照法定程序和要求公布监管信息。</w:t>
      </w:r>
    </w:p>
    <w:p w14:paraId="238866F4">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（二）实施现场检查。</w:t>
      </w:r>
    </w:p>
    <w:p w14:paraId="363B9C10">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1.是否依法取得《准予行政许可决定书》。</w:t>
      </w:r>
    </w:p>
    <w:p w14:paraId="29D70C3D">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2.单位就有关问题做出的说明。</w:t>
      </w:r>
    </w:p>
    <w:p w14:paraId="627BDEB7">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3.其他法律法规规定的事项。</w:t>
      </w:r>
    </w:p>
    <w:p w14:paraId="050A91A5">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（三）建立监管档案。</w:t>
      </w:r>
    </w:p>
    <w:p w14:paraId="50852B00">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县住房和城乡建设局建立本行政区域内对燃气工程竣工验收备案的监管档案。监管档案主要内容包括：1.《准予行政许可决定书》复印件。《准予行政许可决定书》变更记录页或批件。2.申请人相关材料，申请人相关变更情况的备案资料。3.监督检查报告、企业（个人）整改报告及整改复查报告。4.事故处理的有关材料。5.违法、违规等不良行为记录。6.其他应列入监督档案的资料。</w:t>
      </w:r>
    </w:p>
    <w:p w14:paraId="160320B3">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（四）实施信用监管。</w:t>
      </w:r>
    </w:p>
    <w:p w14:paraId="5B26C566">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建立信用监管档案。采集、记录日常监管、违法违规、举报投诉、表彰奖励等信息。定期评定申请人安全信用等级，并根据信用等级评定结果，对失信企业加大监督检查频次，实施重点监管。对严重违反相关法律法规规章的，按照规定纳入城市管理领域“黑名单”管理。</w:t>
      </w:r>
    </w:p>
    <w:p w14:paraId="3D1EBB3A">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（五）实施协同监管。</w:t>
      </w:r>
    </w:p>
    <w:p w14:paraId="4A310E95">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按照权责匹配、权责一致的原则，推进监管信息共享。加强县住建局与招投标等部门的沟通协作，建立健全行政审批、行业主管与后续监管协调一致的监管机制。</w:t>
      </w:r>
    </w:p>
    <w:p w14:paraId="4BFC0504">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黑体" w:hAnsi="仿宋" w:eastAsia="黑体" w:cs="仿宋_GB2312"/>
          <w:sz w:val="32"/>
          <w:szCs w:val="32"/>
          <w:lang w:val="zh-CN"/>
        </w:rPr>
      </w:pPr>
      <w:r>
        <w:rPr>
          <w:rFonts w:hint="eastAsia" w:ascii="黑体" w:hAnsi="仿宋" w:eastAsia="黑体" w:cs="仿宋_GB2312"/>
          <w:sz w:val="32"/>
          <w:szCs w:val="32"/>
          <w:lang w:val="zh-CN"/>
        </w:rPr>
        <w:t>三、事后监管</w:t>
      </w:r>
    </w:p>
    <w:p w14:paraId="122FE248">
      <w:pPr>
        <w:keepNext w:val="0"/>
        <w:keepLines w:val="0"/>
        <w:pageBreakBefore w:val="0"/>
        <w:kinsoku/>
        <w:wordWrap/>
        <w:overflowPunct/>
        <w:topLinePunct w:val="0"/>
        <w:bidi w:val="0"/>
        <w:spacing w:after="0" w:line="560" w:lineRule="exact"/>
        <w:ind w:firstLine="640" w:firstLineChars="200"/>
        <w:textAlignment w:val="auto"/>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任何单位和个人发现在燃气工程竣工验收备案时存在违法行为，有权向县住建局举报，县住建局应当及时核实、处理，并将处理结果及时反馈给举报人。举报地址：祁门县住建局，举报电话：</w:t>
      </w:r>
      <w:r>
        <w:rPr>
          <w:rFonts w:ascii="仿宋_GB2312" w:hAnsi="仿宋" w:eastAsia="仿宋_GB2312" w:cs="仿宋_GB2312"/>
          <w:sz w:val="32"/>
          <w:szCs w:val="32"/>
          <w:lang w:val="zh-CN"/>
        </w:rPr>
        <w:t>0559-</w:t>
      </w:r>
      <w:r>
        <w:rPr>
          <w:rFonts w:hint="eastAsia" w:ascii="仿宋_GB2312" w:hAnsi="仿宋" w:eastAsia="仿宋_GB2312" w:cs="仿宋_GB2312"/>
          <w:sz w:val="32"/>
          <w:szCs w:val="32"/>
          <w:lang w:val="en-US" w:eastAsia="zh-CN"/>
        </w:rPr>
        <w:t>4505663</w:t>
      </w:r>
      <w:r>
        <w:rPr>
          <w:rFonts w:hint="eastAsia" w:ascii="仿宋_GB2312" w:hAnsi="仿宋" w:eastAsia="仿宋_GB2312" w:cs="仿宋_GB2312"/>
          <w:sz w:val="32"/>
          <w:szCs w:val="32"/>
          <w:lang w:val="zh-CN"/>
        </w:rPr>
        <w:t>。</w:t>
      </w:r>
    </w:p>
    <w:p w14:paraId="255BC397">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黑体" w:hAnsi="仿宋" w:eastAsia="黑体" w:cs="仿宋_GB2312"/>
          <w:sz w:val="32"/>
          <w:szCs w:val="32"/>
          <w:lang w:val="zh-CN"/>
        </w:rPr>
      </w:pPr>
      <w:r>
        <w:rPr>
          <w:rFonts w:hint="eastAsia" w:ascii="黑体" w:hAnsi="仿宋" w:eastAsia="黑体" w:cs="仿宋_GB2312"/>
          <w:sz w:val="32"/>
          <w:szCs w:val="32"/>
          <w:lang w:val="zh-CN"/>
        </w:rPr>
        <w:t>四、责任追溯</w:t>
      </w:r>
    </w:p>
    <w:p w14:paraId="77F7BA96">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一）加强人员监督。对不符合备案条件的申请人发放准予行政许可决定书；或者对符合备案条件的申请人不发放准予行政许可决定书；或者超越法定职权、超过法定期限、不按法定程序发放准予行政许可决定书的，对直接负责的主管人员和其他直接责任人员依法</w:t>
      </w:r>
      <w:r>
        <w:rPr>
          <w:rFonts w:hint="eastAsia" w:ascii="仿宋_GB2312" w:hAnsi="仿宋" w:eastAsia="仿宋_GB2312" w:cs="仿宋_GB2312"/>
          <w:sz w:val="32"/>
          <w:szCs w:val="32"/>
          <w:lang w:val="zh-CN" w:eastAsia="zh-CN"/>
        </w:rPr>
        <w:t>给予</w:t>
      </w:r>
      <w:bookmarkStart w:id="0" w:name="_GoBack"/>
      <w:bookmarkEnd w:id="0"/>
      <w:r>
        <w:rPr>
          <w:rFonts w:hint="eastAsia" w:ascii="仿宋_GB2312" w:hAnsi="仿宋" w:eastAsia="仿宋_GB2312" w:cs="仿宋_GB2312"/>
          <w:sz w:val="32"/>
          <w:szCs w:val="32"/>
          <w:lang w:val="zh-CN"/>
        </w:rPr>
        <w:t>处分，构成犯罪的，依法追究刑事责任。县住建局加强人员监督，重点对监管执法人员是否定期赴现场检查、是否严格执行监管措施、是否认真填报检查事项进行监督问责。</w:t>
      </w:r>
    </w:p>
    <w:p w14:paraId="7D890C8E">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二）建立责任追究机制。监管责任追究实行过错责任追究，根据过错责任的大小实施相应的追究方式。包括：责令改正、责令作出书面检查、给予通报批评、调离工作岗位或者停职、给予行政处分、没收和追缴违法违纪所得；涉嫌犯罪的，移交司法机关处理。</w:t>
      </w:r>
    </w:p>
    <w:p w14:paraId="0003C6C8">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黑体" w:hAnsi="仿宋" w:eastAsia="黑体" w:cs="仿宋_GB2312"/>
          <w:sz w:val="32"/>
          <w:szCs w:val="32"/>
          <w:lang w:val="zh-CN"/>
        </w:rPr>
      </w:pPr>
      <w:r>
        <w:rPr>
          <w:rFonts w:hint="eastAsia" w:ascii="黑体" w:hAnsi="仿宋" w:eastAsia="黑体" w:cs="仿宋_GB2312"/>
          <w:sz w:val="32"/>
          <w:szCs w:val="32"/>
          <w:lang w:val="zh-CN"/>
        </w:rPr>
        <w:t>五、保障措施</w:t>
      </w:r>
    </w:p>
    <w:p w14:paraId="550B8A15">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加强普法宣传。运用多种方式宣传燃气方面的相关法律法规，提升管理相对人和公众的法律意识。建立社会公众参与机制，保障公众能够对实施特许经营情况进行监督。</w:t>
      </w:r>
    </w:p>
    <w:p w14:paraId="1CB6A884">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黑体" w:hAnsi="仿宋" w:eastAsia="黑体" w:cs="仿宋_GB2312"/>
          <w:sz w:val="32"/>
          <w:szCs w:val="32"/>
          <w:lang w:val="zh-CN"/>
        </w:rPr>
      </w:pPr>
      <w:r>
        <w:rPr>
          <w:rFonts w:hint="eastAsia" w:ascii="黑体" w:hAnsi="仿宋" w:eastAsia="黑体" w:cs="仿宋_GB2312"/>
          <w:sz w:val="32"/>
          <w:szCs w:val="32"/>
          <w:lang w:val="zh-CN"/>
        </w:rPr>
        <w:t>六、主要依据</w:t>
      </w:r>
    </w:p>
    <w:p w14:paraId="38FE8518">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hint="eastAsia" w:ascii="仿宋_GB2312" w:hAnsi="仿宋" w:eastAsia="仿宋_GB2312" w:cs="仿宋_GB2312"/>
          <w:sz w:val="32"/>
          <w:szCs w:val="32"/>
          <w:lang w:val="zh-CN"/>
        </w:rPr>
      </w:pPr>
      <w:r>
        <w:rPr>
          <w:rFonts w:hint="eastAsia" w:ascii="仿宋_GB2312" w:hAnsi="仿宋" w:eastAsia="仿宋_GB2312" w:cs="仿宋_GB2312"/>
          <w:sz w:val="32"/>
          <w:szCs w:val="32"/>
          <w:lang w:val="zh-CN"/>
        </w:rPr>
        <w:t>（一）《城镇燃气管理条例》第十一条第三款；</w:t>
      </w:r>
    </w:p>
    <w:p w14:paraId="509A961E">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（二）《安徽省城镇燃气管理条例》第十三条。</w:t>
      </w:r>
    </w:p>
    <w:p w14:paraId="643B420B">
      <w:pPr>
        <w:keepNext w:val="0"/>
        <w:keepLines w:val="0"/>
        <w:pageBreakBefore w:val="0"/>
        <w:kinsoku/>
        <w:wordWrap/>
        <w:overflowPunct/>
        <w:topLinePunct w:val="0"/>
        <w:bidi w:val="0"/>
        <w:spacing w:after="0" w:line="560" w:lineRule="exact"/>
        <w:textAlignment w:val="auto"/>
        <w:outlineLvl w:val="9"/>
      </w:pPr>
    </w:p>
    <w:p w14:paraId="00D0BE6D"/>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113E1DB6"/>
    <w:rsid w:val="113E1DB6"/>
    <w:rsid w:val="4D3F224C"/>
    <w:rsid w:val="4F0F5B66"/>
    <w:rsid w:val="72A24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1709</Words>
  <Characters>1739</Characters>
  <Lines>0</Lines>
  <Paragraphs>0</Paragraphs>
  <TotalTime>5</TotalTime>
  <ScaleCrop>false</ScaleCrop>
  <LinksUpToDate>false</LinksUpToDate>
  <CharactersWithSpaces>1739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2024-01-18T08:52:00Z</dcterms:created>
  <dc:creator>沉默的小布芬</dc:creator>
  <cp:lastModifiedBy>一点不稀奇</cp:lastModifiedBy>
  <dcterms:modified xsi:type="dcterms:W3CDTF">2025-11-27T01:44:12Z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16D5B82E5D0F40D3AD5D981C7BC6B9D5_11</vt:lpwstr>
  </property>
  <property fmtid="{D5CDD505-2E9C-101B-9397-08002B2CF9AE}" pid="4" name="KSOTemplateDocerSaveRecord">
    <vt:lpwstr>eyJoZGlkIjoiM2RmMzNjYWMzOGRlYzJmNTAyMGRhYjM5YjYzM2Y2NTYiLCJ1c2VySWQiOiI0OTcyODYwNzIifQ==</vt:lpwstr>
  </property>
</Properties>
</file>